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44"/>
        </w:rPr>
      </w:pPr>
      <w:r>
        <w:rPr>
          <w:rFonts w:hint="eastAsia" w:ascii="黑体" w:hAnsi="黑体" w:eastAsia="黑体" w:cs="黑体"/>
          <w:sz w:val="28"/>
          <w:szCs w:val="44"/>
        </w:rPr>
        <w:t>附件1</w:t>
      </w:r>
    </w:p>
    <w:p>
      <w:pPr>
        <w:spacing w:before="312" w:beforeLines="100" w:line="600" w:lineRule="exact"/>
        <w:jc w:val="center"/>
        <w:rPr>
          <w:rFonts w:eastAsia="方正小标宋简体" w:cs="方正小标宋简体"/>
          <w:sz w:val="44"/>
          <w:szCs w:val="44"/>
        </w:rPr>
      </w:pPr>
      <w:bookmarkStart w:id="0" w:name="_GoBack"/>
      <w:r>
        <w:rPr>
          <w:rFonts w:hint="eastAsia" w:eastAsia="方正小标宋简体" w:cs="方正小标宋简体"/>
          <w:sz w:val="44"/>
          <w:szCs w:val="44"/>
        </w:rPr>
        <w:t>首届全国大学生职业规划大赛</w:t>
      </w:r>
    </w:p>
    <w:p>
      <w:pPr>
        <w:spacing w:after="312" w:afterLines="100" w:line="6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成长赛道方案</w:t>
      </w:r>
    </w:p>
    <w:bookmarkEnd w:id="0"/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一、比赛内容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考察学生职业发展规划的科学性和围绕实现职业目标的成长过程，通过学习实践持续提升职业目标的达成度，增强综合素质和能力。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二、参赛对象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本科一、二、三年级学生。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三、参赛材料要求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选手在大赛平台（网址：zgs.chsi.com.cn）提交以下参赛材料：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生涯发展报告：介绍职业发展规划、实现职业目标的具体行动和成果（PDF格式，文字不超过1500字，如有图表不超过5张）。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生涯发展展示（PPT格式，不超过50MB；可加入视频）。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四、比赛环节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成长赛道设主题陈述、评委提问环节。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（一）主题陈述（8分钟）：选手结合生涯发展报告进行陈述和展示。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（二）评委提问（5分钟）：评委结合选手陈述和现场表现进行提问。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27" w:firstLineChars="196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五、评审标准</w:t>
      </w:r>
    </w:p>
    <w:tbl>
      <w:tblPr>
        <w:tblStyle w:val="4"/>
        <w:tblW w:w="50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6776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69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指标</w:t>
            </w:r>
          </w:p>
        </w:tc>
        <w:tc>
          <w:tcPr>
            <w:tcW w:w="3958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说明</w:t>
            </w:r>
          </w:p>
        </w:tc>
        <w:tc>
          <w:tcPr>
            <w:tcW w:w="472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569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职业目标</w:t>
            </w:r>
          </w:p>
        </w:tc>
        <w:tc>
          <w:tcPr>
            <w:tcW w:w="3958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1.职业目标体现积极正向的价值追求，能够将个人理想与国家需要、经济社会发展相结合。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2.职业目标匹配个人价值观、能力优势、兴趣特点。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3.准确认识目标职业在专业知识、通用素质、就业能力等方面的要求，科学分析个人现实情况与目标要求的差距，制定合理可行的计划</w:t>
            </w:r>
          </w:p>
        </w:tc>
        <w:tc>
          <w:tcPr>
            <w:tcW w:w="472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569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行动成果</w:t>
            </w:r>
          </w:p>
        </w:tc>
        <w:tc>
          <w:tcPr>
            <w:tcW w:w="3958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1.成长行动符合目标职业在通用素质、就业能力、职业道德等方面的要求。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2.成长行动对弥补个人不足的针对性较强。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3.能够将专业知识应用于成长实践，提高通用素质和就业能力。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4.成长行动内容丰富，取得阶段性成果</w:t>
            </w:r>
          </w:p>
        </w:tc>
        <w:tc>
          <w:tcPr>
            <w:tcW w:w="472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569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目标契合度</w:t>
            </w:r>
          </w:p>
        </w:tc>
        <w:tc>
          <w:tcPr>
            <w:tcW w:w="3958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1.行动成果与职业目标的契合程度。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2.总结成长行动中存在的不足和原因，对成长计划进行自我评估和动态调整</w:t>
            </w:r>
          </w:p>
        </w:tc>
        <w:tc>
          <w:tcPr>
            <w:tcW w:w="472" w:type="pct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32"/>
                <w:szCs w:val="32"/>
              </w:rPr>
              <w:t>40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YmZiNDNhYTE1N2NmZmJmZWQxNDJiNjI3ZDU4YmYifQ=="/>
  </w:docVars>
  <w:rsids>
    <w:rsidRoot w:val="09FE5424"/>
    <w:rsid w:val="09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4">
    <w:name w:val="Table Grid"/>
    <w:basedOn w:val="3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2023-10-16T02:58:00Z</dcterms:created>
  <dc:creator>Administrator</dc:creator>
  <cp:lastModifiedBy>Administrator</cp:lastModifiedBy>
  <dcterms:modified xsi:type="dcterms:W3CDTF">2023-10-16T02:58:47Z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D28B4C591BF74A98B97C50AEFFD158CE_11</vt:lpwstr>
  </property>
</Properties>
</file>