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ffffff"/>
  <w:body>
    <w:p>
      <w:pPr>
        <w:pStyle w:val="style1"/>
        <w:ind w:firstLine="0" w:firstLineChars="0"/>
        <w:rPr/>
      </w:pPr>
      <w:bookmarkStart w:id="0" w:name="_GoBack"/>
      <w:bookmarkEnd w:id="0"/>
      <w:r>
        <w:t>附件</w:t>
      </w:r>
      <w:r>
        <w:rPr>
          <w:rFonts w:hint="eastAsia"/>
        </w:rPr>
        <w:t>1</w:t>
      </w:r>
    </w:p>
    <w:p>
      <w:pPr>
        <w:pStyle w:val="style0"/>
        <w:topLinePunct/>
        <w:spacing w:lineRule="auto" w:line="300"/>
        <w:ind w:firstLine="0" w:firstLineChars="0"/>
        <w:jc w:val="center"/>
        <w:rPr>
          <w:rFonts w:hint="eastAsia"/>
        </w:rPr>
      </w:pPr>
    </w:p>
    <w:bookmarkStart w:id="1" w:name="_Toc313693495"/>
    <w:p>
      <w:pPr>
        <w:pStyle w:val="style0"/>
        <w:topLinePunct/>
        <w:spacing w:lineRule="auto" w:line="300"/>
        <w:ind w:firstLine="0" w:firstLineChars="0"/>
        <w:jc w:val="center"/>
        <w:rPr>
          <w:rFonts w:eastAsia="长城小标宋体"/>
          <w:b/>
          <w:bCs/>
          <w:spacing w:val="6"/>
          <w:sz w:val="36"/>
        </w:rPr>
      </w:pPr>
      <w:r>
        <w:rPr>
          <w:rFonts w:eastAsia="长城小标宋体" w:hint="eastAsia"/>
          <w:b/>
          <w:bCs/>
          <w:spacing w:val="6"/>
          <w:sz w:val="36"/>
        </w:rPr>
        <w:t>20</w:t>
      </w:r>
      <w:r>
        <w:rPr>
          <w:rFonts w:eastAsia="长城小标宋体" w:hint="eastAsia"/>
          <w:b/>
          <w:bCs/>
          <w:spacing w:val="6"/>
          <w:sz w:val="36"/>
          <w:lang w:val="en-US" w:eastAsia="zh-CN"/>
        </w:rPr>
        <w:t>20</w:t>
      </w:r>
      <w:r>
        <w:rPr>
          <w:rFonts w:eastAsia="长城小标宋体" w:hint="eastAsia"/>
          <w:b/>
          <w:bCs/>
          <w:spacing w:val="6"/>
          <w:sz w:val="36"/>
        </w:rPr>
        <w:t>年度全国科普统计调查方案</w:t>
      </w:r>
      <w:bookmarkEnd w:id="1"/>
    </w:p>
    <w:p>
      <w:pPr>
        <w:pStyle w:val="style0"/>
        <w:rPr/>
      </w:pPr>
    </w:p>
    <w:p>
      <w:pPr>
        <w:pStyle w:val="style1"/>
        <w:rPr/>
      </w:pPr>
      <w:r>
        <w:rPr>
          <w:rFonts w:hint="eastAsia"/>
        </w:rPr>
        <w:t>一、科普统计的内容和任务</w:t>
      </w:r>
    </w:p>
    <w:p>
      <w:pPr>
        <w:pStyle w:val="style0"/>
        <w:rPr/>
      </w:pPr>
      <w:r>
        <w:rPr>
          <w:rFonts w:hint="eastAsia"/>
        </w:rPr>
        <w:t>科普统计是国家科技统计的重要组成部分。通过开展全国科普统计调查，可以使政府管理部门及时掌握国家科普资源概况，更好地监测国家科普工作质量，为政府制定科普政策提供依据。全国科普统计的内容包括：科普人员、科普场地、科普经费、科普传媒、科普活动以及创新创业中的科普6个方面。</w:t>
      </w:r>
    </w:p>
    <w:p>
      <w:pPr>
        <w:pStyle w:val="style1"/>
        <w:rPr/>
      </w:pPr>
      <w:r>
        <w:rPr>
          <w:rFonts w:hint="eastAsia"/>
        </w:rPr>
        <w:t>二、科普统计的范围</w:t>
      </w:r>
    </w:p>
    <w:p>
      <w:pPr>
        <w:pStyle w:val="style0"/>
        <w:rPr/>
      </w:pPr>
      <w:r>
        <w:rPr>
          <w:rFonts w:hint="eastAsia"/>
        </w:rPr>
        <w:t>本次统计的范围包括中央和国家机关各有关单位，省（自治区、直辖市，以下简称省）、市（地区、州、盟，以下简称市）、县（区、旗，以下简称县）人民政府有关部门及其直属单位、社会团体等机构和组织。</w:t>
      </w:r>
    </w:p>
    <w:p>
      <w:pPr>
        <w:pStyle w:val="style0"/>
        <w:rPr/>
      </w:pPr>
      <w:r>
        <w:rPr>
          <w:rFonts w:hint="eastAsia"/>
        </w:rPr>
        <w:t>统计填报单位主要包括：</w:t>
      </w:r>
    </w:p>
    <w:p>
      <w:pPr>
        <w:pStyle w:val="style0"/>
        <w:rPr/>
      </w:pPr>
      <w:r>
        <w:rPr>
          <w:rFonts w:hint="eastAsia"/>
        </w:rPr>
        <w:t>1. 中央和国家机关各有关单位：中央宣传部（含国家新闻出版署）、发展改革委</w:t>
      </w:r>
      <w:r>
        <w:rPr>
          <w:rFonts w:hint="eastAsia"/>
          <w:lang w:eastAsia="zh-CN"/>
        </w:rPr>
        <w:t>（</w:t>
      </w:r>
      <w:r>
        <w:rPr>
          <w:rFonts w:hint="eastAsia"/>
          <w:lang w:val="en-US" w:eastAsia="zh-CN"/>
        </w:rPr>
        <w:t>含</w:t>
      </w:r>
      <w:r>
        <w:rPr>
          <w:rFonts w:hint="eastAsia"/>
        </w:rPr>
        <w:t>粮食和储备局</w:t>
      </w:r>
      <w:r>
        <w:rPr>
          <w:rFonts w:hint="eastAsia"/>
          <w:lang w:eastAsia="zh-CN"/>
        </w:rPr>
        <w:t>）</w:t>
      </w:r>
      <w:r>
        <w:rPr>
          <w:rFonts w:hint="eastAsia"/>
        </w:rPr>
        <w:t>、教育部、科技部、工业和信息化部、国家民委、公安部、民政部、人力资源社会保障部、自然资源部（含林草局）、生态环境部、住房城乡建设部、</w:t>
      </w:r>
      <w:r>
        <w:rPr/>
        <w:fldChar w:fldCharType="begin"/>
      </w:r>
      <w:r>
        <w:instrText xml:space="preserve"> HYPERLINK "http://www.mot.gov.cn/" \t "_blank" </w:instrText>
      </w:r>
      <w:r>
        <w:rPr/>
        <w:fldChar w:fldCharType="separate"/>
      </w:r>
      <w:r>
        <w:rPr>
          <w:rFonts w:hint="eastAsia"/>
        </w:rPr>
        <w:t>交通运输部</w:t>
      </w:r>
      <w:r>
        <w:rPr>
          <w:rFonts w:hint="eastAsia"/>
        </w:rPr>
        <w:fldChar w:fldCharType="end"/>
      </w:r>
      <w:r>
        <w:rPr>
          <w:rFonts w:hint="eastAsia"/>
        </w:rPr>
        <w:t>（含民航局、铁路局、邮政局）、水利部、农业农村部、文化和旅游部、卫生健康委、应急部（含地震局、</w:t>
      </w:r>
      <w:r>
        <w:rPr>
          <w:rFonts w:hint="eastAsia"/>
          <w:lang w:val="en-US" w:eastAsia="zh-CN"/>
        </w:rPr>
        <w:t>矿山</w:t>
      </w:r>
      <w:r>
        <w:rPr>
          <w:rFonts w:hint="eastAsia"/>
        </w:rPr>
        <w:t>安监局）、人民银行、国资委、市场监管总局（含药监局、知识产权局）、广电总局、体育总局、中科院、社科院、气象局、国防科工局、共青团中央、全国总工会、全国妇联、中国科协等。</w:t>
      </w:r>
    </w:p>
    <w:p>
      <w:pPr>
        <w:pStyle w:val="style0"/>
        <w:rPr/>
      </w:pPr>
      <w:r>
        <w:rPr>
          <w:rFonts w:hint="eastAsia"/>
        </w:rPr>
        <w:t>2. 省级单位：省委宣传部（含新闻出版局）、发展改革委</w:t>
      </w:r>
      <w:r>
        <w:rPr>
          <w:rFonts w:hint="eastAsia"/>
          <w:lang w:eastAsia="zh-CN"/>
        </w:rPr>
        <w:t>（</w:t>
      </w:r>
      <w:r>
        <w:rPr>
          <w:rFonts w:hint="eastAsia"/>
          <w:lang w:val="en-US" w:eastAsia="zh-CN"/>
        </w:rPr>
        <w:t>含</w:t>
      </w:r>
      <w:r>
        <w:rPr>
          <w:rFonts w:hint="eastAsia"/>
        </w:rPr>
        <w:t>粮食和储备局</w:t>
      </w:r>
      <w:r>
        <w:rPr>
          <w:rFonts w:hint="eastAsia"/>
          <w:lang w:eastAsia="zh-CN"/>
        </w:rPr>
        <w:t>）</w:t>
      </w:r>
      <w:r>
        <w:rPr>
          <w:rFonts w:hint="eastAsia"/>
        </w:rPr>
        <w:t>、教育厅、科技厅、工业和信息化厅（委）、民委、公安厅、民政厅、人力资源社会保障厅、自然资源厅（含林草局）、生态环境厅、住房城乡建设厅、交通运输厅（含民航局、铁路局、邮政局）、水利厅、农业农村厅、文化和旅游厅、卫生健康委、应急厅（含地震局、</w:t>
      </w:r>
      <w:r>
        <w:rPr>
          <w:rFonts w:hint="eastAsia"/>
          <w:lang w:val="en-US" w:eastAsia="zh-CN"/>
        </w:rPr>
        <w:t>矿山</w:t>
      </w:r>
      <w:r>
        <w:rPr>
          <w:rFonts w:hint="eastAsia"/>
        </w:rPr>
        <w:t>安监局）、国资委、市场监管局（含药监局、知识产权局）、广电局、体育局、科学院、社科院、气象局、科工局（办）、共青团、工会、妇联、科协等。</w:t>
      </w:r>
    </w:p>
    <w:p>
      <w:pPr>
        <w:pStyle w:val="style0"/>
        <w:rPr/>
      </w:pPr>
      <w:r>
        <w:rPr>
          <w:rFonts w:hint="eastAsia"/>
        </w:rPr>
        <w:t>3. 市级单位：市委宣传部（含新闻出版局）、发展改革委</w:t>
      </w:r>
      <w:r>
        <w:rPr>
          <w:rFonts w:hint="eastAsia"/>
          <w:lang w:eastAsia="zh-CN"/>
        </w:rPr>
        <w:t>（</w:t>
      </w:r>
      <w:r>
        <w:rPr>
          <w:rFonts w:hint="eastAsia"/>
          <w:lang w:val="en-US" w:eastAsia="zh-CN"/>
        </w:rPr>
        <w:t>含</w:t>
      </w:r>
      <w:r>
        <w:rPr>
          <w:rFonts w:hint="eastAsia"/>
        </w:rPr>
        <w:t>粮食和储备局</w:t>
      </w:r>
      <w:r>
        <w:rPr>
          <w:rFonts w:hint="eastAsia"/>
          <w:lang w:eastAsia="zh-CN"/>
        </w:rPr>
        <w:t>）</w:t>
      </w:r>
      <w:r>
        <w:rPr>
          <w:rFonts w:hint="eastAsia"/>
        </w:rPr>
        <w:t>、教育局、科技局、工业和信息化局（委）、民委、公安局、民政局、人力资源社会保障局、自然资源局（含林草局）、生态环境局、住房城乡建设局、交通运输局（含民航局、铁路局、邮政局）、水利局、农业农村局、文化和旅游局、卫生健康委、应急局（含地震局、</w:t>
      </w:r>
      <w:r>
        <w:rPr>
          <w:rFonts w:hint="eastAsia"/>
          <w:lang w:val="en-US" w:eastAsia="zh-CN"/>
        </w:rPr>
        <w:t>矿山</w:t>
      </w:r>
      <w:r>
        <w:rPr>
          <w:rFonts w:hint="eastAsia"/>
        </w:rPr>
        <w:t>安监局）、国资委、市场监管局（含药监局、知识产权局）、广电局、体育局、科学院、社科院、气象局、共青团、工会、妇联、科协等。</w:t>
      </w:r>
    </w:p>
    <w:p>
      <w:pPr>
        <w:pStyle w:val="style0"/>
        <w:rPr/>
      </w:pPr>
      <w:r>
        <w:rPr>
          <w:rFonts w:hint="eastAsia"/>
        </w:rPr>
        <w:t>4. 县级单位：县委宣传部（含新闻出版局）、发展改革委</w:t>
      </w:r>
      <w:r>
        <w:rPr>
          <w:rFonts w:hint="eastAsia"/>
          <w:lang w:eastAsia="zh-CN"/>
        </w:rPr>
        <w:t>（</w:t>
      </w:r>
      <w:r>
        <w:rPr>
          <w:rFonts w:hint="eastAsia"/>
          <w:lang w:val="en-US" w:eastAsia="zh-CN"/>
        </w:rPr>
        <w:t>含</w:t>
      </w:r>
      <w:r>
        <w:rPr>
          <w:rFonts w:hint="eastAsia"/>
        </w:rPr>
        <w:t>粮食和储备局</w:t>
      </w:r>
      <w:r>
        <w:rPr>
          <w:rFonts w:hint="eastAsia"/>
          <w:lang w:eastAsia="zh-CN"/>
        </w:rPr>
        <w:t>）</w:t>
      </w:r>
      <w:r>
        <w:rPr>
          <w:rFonts w:hint="eastAsia"/>
        </w:rPr>
        <w:t>、教育局、科技局、工业和信息化局（委）、民委、公安局、民政局、人力资源社会保障局、自然资源局（含林草局）、生态环境局、住房城乡建设局、交通运输局、水利局、农业农村局、文化和旅游局、卫生健康委、应急局（含地震局、</w:t>
      </w:r>
      <w:r>
        <w:rPr>
          <w:rFonts w:hint="eastAsia"/>
          <w:lang w:val="en-US" w:eastAsia="zh-CN"/>
        </w:rPr>
        <w:t>矿山</w:t>
      </w:r>
      <w:r>
        <w:rPr>
          <w:rFonts w:hint="eastAsia"/>
        </w:rPr>
        <w:t>安监局）、国资委、市场监管局（含药监局、知识产权局）、广电局、体育局、气象局、共青团、工会、妇联、科协等。</w:t>
      </w:r>
    </w:p>
    <w:p>
      <w:pPr>
        <w:pStyle w:val="style1"/>
        <w:rPr/>
      </w:pPr>
      <w:r>
        <w:rPr>
          <w:rFonts w:hint="eastAsia"/>
        </w:rPr>
        <w:t>三、科普统计的组织</w:t>
      </w:r>
    </w:p>
    <w:p>
      <w:pPr>
        <w:pStyle w:val="style0"/>
        <w:rPr/>
      </w:pPr>
      <w:r>
        <w:rPr>
          <w:rFonts w:hint="eastAsia"/>
        </w:rPr>
        <w:t>科普统计由科技部牵头，会同有关部门共同组织实施。科技部负责制定统计方案，提出工作要求，指导和协调中央和国家机关各有关单位科技主管部门和各省科技厅（委、局）的统计工作。中国科学技术信息研究所负责具体统计实施工作。</w:t>
      </w:r>
    </w:p>
    <w:p>
      <w:pPr>
        <w:pStyle w:val="style0"/>
        <w:rPr/>
      </w:pPr>
      <w:r>
        <w:rPr>
          <w:rFonts w:hint="eastAsia"/>
        </w:rPr>
        <w:t>各地方科技行政管理部门牵头组织本地方行政区域内各单位的科普统计。</w:t>
      </w:r>
    </w:p>
    <w:p>
      <w:pPr>
        <w:pStyle w:val="style1"/>
        <w:rPr/>
      </w:pPr>
      <w:r>
        <w:rPr>
          <w:rFonts w:hint="eastAsia"/>
        </w:rPr>
        <w:t>四、科普统计的工作方式</w:t>
      </w:r>
    </w:p>
    <w:p>
      <w:pPr>
        <w:pStyle w:val="style0"/>
        <w:rPr/>
      </w:pPr>
      <w:r>
        <w:rPr>
          <w:rFonts w:hint="eastAsia"/>
        </w:rPr>
        <w:t>全国科普统计按中央和国家机关各有关单位及省、市、县分级实施，采取条块结合的方式。</w:t>
      </w:r>
    </w:p>
    <w:p>
      <w:pPr>
        <w:pStyle w:val="style0"/>
        <w:rPr/>
      </w:pPr>
      <w:r>
        <w:rPr>
          <w:rFonts w:hint="eastAsia"/>
        </w:rPr>
        <w:t>1. 科技部负责全国科普统计。包括：向中央和国家机关各有关单位科技主管部门以及省科技行政管理部门布置科普统计任务，开展统计人员在线填报培训，审核数据，汇总全国科普统计数据，形成国家科普统计年度报告。</w:t>
      </w:r>
    </w:p>
    <w:p>
      <w:pPr>
        <w:pStyle w:val="style0"/>
        <w:rPr/>
      </w:pPr>
      <w:r>
        <w:rPr>
          <w:rFonts w:hint="eastAsia"/>
        </w:rPr>
        <w:t>2. 中央和国家机关各有关单位科技主管部门负责自身及其直属机构的科普统计。包括：向直属机构布置科普统计任务，对统计人员进行培训，审核数据；将本部门已填报的数据汇总后盖章的纸质调查表报送科技部。</w:t>
      </w:r>
    </w:p>
    <w:p>
      <w:pPr>
        <w:pStyle w:val="style0"/>
        <w:rPr/>
      </w:pPr>
      <w:r>
        <w:rPr>
          <w:rFonts w:hint="eastAsia"/>
        </w:rPr>
        <w:t>3. 各省科技厅（委、局）负责本省科普统计。包括：向本省同级有关部门、所属各市科技局布置科普统计任务，对统计人员在线填报培训，审核数据；将本省已填报的数据汇总后盖章的纸质调查表报送科技部。</w:t>
      </w:r>
    </w:p>
    <w:p>
      <w:pPr>
        <w:pStyle w:val="style0"/>
        <w:rPr>
          <w:spacing w:val="5"/>
        </w:rPr>
      </w:pPr>
      <w:r>
        <w:rPr>
          <w:rFonts w:hint="eastAsia"/>
        </w:rPr>
        <w:t xml:space="preserve">4. </w:t>
      </w:r>
      <w:r>
        <w:rPr>
          <w:rFonts w:hint="eastAsia"/>
          <w:spacing w:val="5"/>
        </w:rPr>
        <w:t>市科技局负责本市科普统计。包括：向本市同级有关部门、所属县科技局布置科普统计任务，对统计人员进行培训，审核数据；将本市已填报的数据汇总后盖章的纸质调查表报送科技厅（委）。</w:t>
      </w:r>
    </w:p>
    <w:p>
      <w:pPr>
        <w:pStyle w:val="style0"/>
        <w:rPr/>
      </w:pPr>
      <w:r>
        <w:rPr>
          <w:rFonts w:hint="eastAsia"/>
        </w:rPr>
        <w:t>5. 县科技行政管理部门负责本县科普统计。包括：向本县同级有关部门布置科普统计任务，对统计人员进行培训，审核数据；将本县已填报的数据汇总后盖章的纸质调查表报送市科技局。</w:t>
      </w:r>
    </w:p>
    <w:p>
      <w:pPr>
        <w:pStyle w:val="style1"/>
        <w:rPr/>
      </w:pPr>
      <w:r>
        <w:rPr>
          <w:rFonts w:hint="eastAsia"/>
        </w:rPr>
        <w:t>五、在线填报系统</w:t>
      </w:r>
    </w:p>
    <w:p>
      <w:pPr>
        <w:pStyle w:val="style0"/>
        <w:rPr/>
      </w:pPr>
      <w:r>
        <w:rPr>
          <w:rFonts w:hint="eastAsia"/>
        </w:rPr>
        <w:t>20</w:t>
      </w:r>
      <w:r>
        <w:rPr>
          <w:rFonts w:hint="eastAsia"/>
          <w:lang w:val="en-US" w:eastAsia="zh-CN"/>
        </w:rPr>
        <w:t>20</w:t>
      </w:r>
      <w:r>
        <w:rPr>
          <w:rFonts w:hint="eastAsia"/>
        </w:rPr>
        <w:t>年度全国科普统计工作实行数据在线填报，各填报单位可以在中国科技情报网（http://kptj.chinainfo.org.cn）登录填报、审核、提交数据。</w:t>
      </w:r>
    </w:p>
    <w:p>
      <w:pPr>
        <w:pStyle w:val="style0"/>
        <w:rPr/>
      </w:pPr>
      <w:r>
        <w:rPr>
          <w:rFonts w:hint="eastAsia"/>
        </w:rPr>
        <w:t>科普统计培训PPT及培训教材由中国科学技术信息研究所编写，可在中国科技情报网下载。</w:t>
      </w:r>
    </w:p>
    <w:p>
      <w:pPr>
        <w:pStyle w:val="style1"/>
        <w:rPr/>
      </w:pPr>
      <w:r>
        <w:rPr>
          <w:rFonts w:hint="eastAsia"/>
        </w:rPr>
        <w:t>六、填报时间</w:t>
      </w:r>
    </w:p>
    <w:p>
      <w:pPr>
        <w:pStyle w:val="style0"/>
        <w:rPr/>
      </w:pPr>
      <w:r>
        <w:rPr>
          <w:rFonts w:hint="eastAsia"/>
        </w:rPr>
        <w:t>202</w:t>
      </w:r>
      <w:r>
        <w:rPr>
          <w:rFonts w:hint="eastAsia"/>
          <w:lang w:val="en-US" w:eastAsia="zh-CN"/>
        </w:rPr>
        <w:t>1</w:t>
      </w:r>
      <w:r>
        <w:rPr>
          <w:rFonts w:hint="eastAsia"/>
        </w:rPr>
        <w:t>年</w:t>
      </w:r>
      <w:r>
        <w:rPr>
          <w:rFonts w:hint="eastAsia"/>
          <w:lang w:val="en-US" w:eastAsia="zh-CN"/>
        </w:rPr>
        <w:t>6</w:t>
      </w:r>
      <w:r>
        <w:rPr>
          <w:rFonts w:hint="eastAsia"/>
        </w:rPr>
        <w:t>月</w:t>
      </w:r>
      <w:r>
        <w:rPr>
          <w:rFonts w:hint="eastAsia"/>
          <w:lang w:val="en-US" w:eastAsia="zh-CN"/>
        </w:rPr>
        <w:t>30</w:t>
      </w:r>
      <w:r>
        <w:rPr>
          <w:rFonts w:hint="eastAsia"/>
        </w:rPr>
        <w:t>日前，各地方、各部门完成在线填报及数据的审核与汇总。</w:t>
      </w:r>
    </w:p>
    <w:p>
      <w:pPr>
        <w:pStyle w:val="style1"/>
        <w:rPr/>
      </w:pPr>
      <w:r>
        <w:rPr>
          <w:rFonts w:hint="eastAsia"/>
        </w:rPr>
        <w:t>七、数据的修正和反馈</w:t>
      </w:r>
      <w:r>
        <w:rPr>
          <w:rFonts w:hint="eastAsia"/>
        </w:rPr>
        <w:tab/>
      </w:r>
    </w:p>
    <w:p>
      <w:pPr>
        <w:pStyle w:val="style0"/>
        <w:rPr/>
      </w:pPr>
      <w:r>
        <w:rPr>
          <w:rFonts w:hint="eastAsia"/>
        </w:rPr>
        <w:t>调查数据的质量是统计工作的灵魂。没有严格的数据质量控制，难以保障数据填报的真实性。各级科技管理部门和填报单位要以高度的责任心，对填报的数据进行层层把关。在全国科普统计数据填报完成后，科技部将组织专家对填报数据进行联合会审，就上报数据质量进行评估。对数据质量存在问题的，将要求进行核实和修正。</w:t>
      </w:r>
    </w:p>
    <w:p>
      <w:pPr>
        <w:pStyle w:val="style1"/>
        <w:rPr/>
      </w:pPr>
      <w:r>
        <w:rPr>
          <w:rFonts w:hint="eastAsia"/>
        </w:rPr>
        <w:t>八、注意事项</w:t>
      </w:r>
    </w:p>
    <w:p>
      <w:pPr>
        <w:pStyle w:val="style0"/>
        <w:rPr/>
      </w:pPr>
      <w:r>
        <w:rPr>
          <w:rFonts w:hint="eastAsia"/>
        </w:rPr>
        <w:t>凡在“科普场地”报表中填写“科普场馆”数据的单位，均需确保此项数据单独在线填报，不与其他单位汇总填报。</w:t>
      </w:r>
    </w:p>
    <w:p>
      <w:pPr>
        <w:pStyle w:val="style0"/>
        <w:rPr>
          <w:rFonts w:hint="eastAsia"/>
        </w:rPr>
      </w:pPr>
    </w:p>
    <w:sectPr>
      <w:headerReference w:type="even" r:id="rId2"/>
      <w:headerReference w:type="default" r:id="rId3"/>
      <w:footerReference w:type="even" r:id="rId4"/>
      <w:footerReference w:type="default" r:id="rId5"/>
      <w:headerReference w:type="first" r:id="rId6"/>
      <w:pgSz w:w="11906" w:h="16838" w:orient="portrait"/>
      <w:pgMar w:top="2098" w:right="1531" w:bottom="1985" w:left="1644" w:header="851" w:footer="1587" w:gutter="0"/>
      <w:cols w:space="720" w:num="1"/>
      <w:docGrid w:type="linesAndChars" w:linePitch="435" w:charSpace="-25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auto"/>
    <w:pitch w:val="default"/>
    <w:sig w:usb0="E0002EFF" w:usb1="C000785B" w:usb2="00000009" w:usb3="00000000" w:csb0="400001FF" w:csb1="FFFF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仿宋_GB2312">
    <w:altName w:val="仿宋_GB2312"/>
    <w:panose1 w:val="02010609030001010101"/>
    <w:charset w:val="86"/>
    <w:family w:val="modern"/>
    <w:pitch w:val="default"/>
    <w:sig w:usb0="00000001" w:usb1="080E0000" w:usb2="00000000" w:usb3="00000000" w:csb0="00040000" w:csb1="00000000"/>
  </w:font>
  <w:font w:name="楷体_GB2312">
    <w:altName w:val="楷体_GB2312"/>
    <w:panose1 w:val="02010609030001010101"/>
    <w:charset w:val="86"/>
    <w:family w:val="modern"/>
    <w:pitch w:val="default"/>
    <w:sig w:usb0="00000001" w:usb1="080E0000" w:usb2="00000000" w:usb3="00000000" w:csb0="00040000" w:csb1="00000000"/>
  </w:font>
  <w:font w:name="长城小标宋体">
    <w:altName w:val="宋体"/>
    <w:panose1 w:val="02010609010001010101"/>
    <w:charset w:val="86"/>
    <w:family w:val="modern"/>
    <w:pitch w:val="default"/>
    <w:sig w:usb0="00000000" w:usb1="00000000" w:usb2="00000000" w:usb3="00000000" w:csb0="00040001"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around" w:hAnchor="margin" w:vAnchor="text" w:xAlign="outside" w:y="1"/>
      <w:spacing w:lineRule="auto" w:line="240"/>
      <w:ind w:left="320" w:leftChars="100" w:firstLine="0" w:firstLineChars="0"/>
      <w:rPr/>
    </w:pPr>
    <w:r>
      <w:rPr>
        <w:rFonts w:ascii="仿宋_GB2312" w:hAnsi="仿宋_GB2312" w:hint="eastAsia"/>
        <w:sz w:val="28"/>
      </w:rPr>
      <w:t>—</w:t>
    </w:r>
    <w:r>
      <w:rPr>
        <w:rFonts w:hAnsi="仿宋_GB2312" w:hint="eastAsia"/>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sz w:val="28"/>
      </w:rPr>
      <w:t>2</w:t>
    </w:r>
    <w:r>
      <w:rPr>
        <w:rFonts w:eastAsia="楷体_GB2312"/>
        <w:sz w:val="28"/>
      </w:rPr>
      <w:fldChar w:fldCharType="end"/>
    </w:r>
    <w:r>
      <w:rPr>
        <w:rFonts w:ascii="仿宋_GB2312" w:hAnsi="仿宋_GB2312" w:hint="eastAsia"/>
        <w:sz w:val="28"/>
      </w:rPr>
      <w:t xml:space="preserve"> —</w:t>
    </w:r>
  </w:p>
  <w:p>
    <w:pPr>
      <w:pStyle w:val="style32"/>
      <w:spacing w:lineRule="auto" w:line="240"/>
      <w:ind w:left="320" w:leftChars="100" w:firstLine="0" w:firstLineChars="0"/>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around" w:hAnchor="margin" w:vAnchor="text" w:xAlign="outside" w:y="1"/>
      <w:spacing w:lineRule="auto" w:line="240"/>
      <w:ind w:right="320" w:rightChars="100" w:firstLine="0" w:firstLineChars="0"/>
      <w:rPr>
        <w:rFonts w:ascii="楷体_GB2312" w:eastAsia="楷体_GB2312"/>
        <w:sz w:val="28"/>
      </w:rPr>
    </w:pPr>
    <w:r>
      <w:rPr>
        <w:rFonts w:ascii="仿宋_GB2312" w:hAnsi="仿宋_GB2312" w:hint="eastAsia"/>
        <w:sz w:val="28"/>
      </w:rPr>
      <w:t xml:space="preserve">  —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sz w:val="28"/>
      </w:rPr>
      <w:t>1</w:t>
    </w:r>
    <w:r>
      <w:rPr>
        <w:rFonts w:eastAsia="楷体_GB2312"/>
        <w:sz w:val="28"/>
      </w:rPr>
      <w:fldChar w:fldCharType="end"/>
    </w:r>
    <w:r>
      <w:rPr>
        <w:rFonts w:ascii="仿宋_GB2312" w:hAnsi="仿宋_GB2312" w:hint="eastAsia"/>
        <w:sz w:val="28"/>
      </w:rPr>
      <w:t xml:space="preserve"> —</w:t>
    </w:r>
  </w:p>
  <w:p>
    <w:pPr>
      <w:pStyle w:val="style32"/>
      <w:spacing w:lineRule="auto" w:line="240"/>
      <w:ind w:firstLine="0" w:firstLineChars="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ind w:firstLine="360"/>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ind w:firstLine="360"/>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ind w:firstLine="3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425"/>
  <w:evenAndOddHeaders/>
  <w:drawingGridHorizontalSpacing w:val="154"/>
  <w:drawingGridVerticalSpacing w:val="218"/>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uiPriority w:val="0"/>
    <w:pPr>
      <w:widowControl w:val="false"/>
      <w:adjustRightInd w:val="false"/>
      <w:snapToGrid w:val="false"/>
      <w:spacing w:lineRule="auto" w:line="336"/>
      <w:ind w:firstLine="616" w:firstLineChars="200"/>
      <w:jc w:val="both"/>
    </w:pPr>
    <w:rPr>
      <w:rFonts w:ascii="Times New Roman" w:cs="Times New Roman" w:eastAsia="仿宋_GB2312" w:hAnsi="Times New Roman"/>
      <w:kern w:val="2"/>
      <w:sz w:val="32"/>
      <w:szCs w:val="32"/>
      <w:lang w:val="en-US" w:bidi="ar-SA" w:eastAsia="zh-CN"/>
    </w:rPr>
  </w:style>
  <w:style w:type="paragraph" w:styleId="style1">
    <w:name w:val="heading 1"/>
    <w:basedOn w:val="style0"/>
    <w:next w:val="style0"/>
    <w:uiPriority w:val="0"/>
    <w:pPr>
      <w:outlineLvl w:val="0"/>
    </w:pPr>
    <w:rPr>
      <w:rFonts w:eastAsia="黑体"/>
    </w:rPr>
  </w:style>
  <w:style w:type="paragraph" w:styleId="style2">
    <w:name w:val="heading 2"/>
    <w:basedOn w:val="style0"/>
    <w:next w:val="style0"/>
    <w:uiPriority w:val="0"/>
    <w:pPr>
      <w:outlineLvl w:val="1"/>
    </w:pPr>
    <w:rPr>
      <w:rFonts w:eastAsia="楷体_GB2312"/>
    </w:rPr>
  </w:style>
  <w:style w:type="paragraph" w:styleId="style3">
    <w:name w:val="heading 3"/>
    <w:basedOn w:val="style0"/>
    <w:next w:val="style0"/>
    <w:uiPriority w:val="0"/>
    <w:pPr>
      <w:outlineLvl w:val="2"/>
    </w:pPr>
    <w:rPr>
      <w:b/>
      <w:bCs/>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paragraph" w:styleId="style153">
    <w:name w:val="Balloon Text"/>
    <w:basedOn w:val="style0"/>
    <w:next w:val="style153"/>
    <w:link w:val="style4097"/>
    <w:uiPriority w:val="0"/>
    <w:pPr>
      <w:spacing w:lineRule="auto" w:line="240"/>
    </w:pPr>
    <w:rPr>
      <w:rFonts w:eastAsia="仿宋_GB2312"/>
      <w:kern w:val="2"/>
      <w:sz w:val="18"/>
      <w:szCs w:val="18"/>
    </w:rPr>
  </w:style>
  <w:style w:type="paragraph" w:styleId="style32">
    <w:name w:val="footer"/>
    <w:basedOn w:val="style0"/>
    <w:next w:val="style32"/>
    <w:uiPriority w:val="0"/>
    <w:pPr>
      <w:tabs>
        <w:tab w:val="center" w:leader="none" w:pos="4153"/>
        <w:tab w:val="right" w:leader="none" w:pos="8306"/>
      </w:tabs>
      <w:jc w:val="left"/>
    </w:pPr>
    <w:rPr>
      <w:sz w:val="18"/>
    </w:rPr>
  </w:style>
  <w:style w:type="paragraph" w:styleId="style31">
    <w:name w:val="header"/>
    <w:basedOn w:val="style0"/>
    <w:next w:val="style31"/>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pacing w:lineRule="auto" w:line="240"/>
    </w:pPr>
    <w:rPr>
      <w:sz w:val="18"/>
    </w:rPr>
  </w:style>
  <w:style w:type="character" w:styleId="style41">
    <w:name w:val="page number"/>
    <w:basedOn w:val="style65"/>
    <w:next w:val="style41"/>
    <w:uiPriority w:val="0"/>
  </w:style>
  <w:style w:type="character" w:customStyle="1" w:styleId="style4097">
    <w:name w:val="批注框文本 Char"/>
    <w:basedOn w:val="style65"/>
    <w:next w:val="style4097"/>
    <w:link w:val="style153"/>
    <w:uiPriority w:val="0"/>
    <w:rPr>
      <w:rFonts w:eastAsia="仿宋_GB2312"/>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Words>2152</Words>
  <Pages>28</Pages>
  <Characters>2204</Characters>
  <Application>WPS Office</Application>
  <DocSecurity>0</DocSecurity>
  <Paragraphs>45</Paragraphs>
  <ScaleCrop>false</ScaleCrop>
  <Company>MOST</Company>
  <LinksUpToDate>false</LinksUpToDate>
  <CharactersWithSpaces>2220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2020-05-08T02:44:00Z</dcterms:created>
  <dc:creator>istic</dc:creator>
  <lastModifiedBy>VOG-AL00</lastModifiedBy>
  <lastPrinted>2007-11-23T01:15:00Z</lastPrinted>
  <dcterms:modified xsi:type="dcterms:W3CDTF">2021-07-08T09:22:19Z</dcterms:modified>
  <revision>2</revision>
  <dc:title>国科发火〔2017〕410号</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403fe9e35ec9421ca1834c6a1a1fb23d</vt:lpwstr>
  </property>
</Properties>
</file>