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cs="宋体"/>
          <w:b/>
          <w:bCs/>
          <w:sz w:val="32"/>
          <w:szCs w:val="40"/>
          <w:lang w:val="en-US" w:eastAsia="zh-CN"/>
        </w:rPr>
      </w:pPr>
      <w:bookmarkStart w:id="0" w:name="_Hlk114856025"/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2022年度华南理工大学-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TCL科技创新基金项目指南</w:t>
      </w:r>
      <w:bookmarkEnd w:id="0"/>
    </w:p>
    <w:bookmarkEnd w:id="1"/>
    <w:p>
      <w:pPr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36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新型显示材料：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高迁移率、高稳定性的氧化物TFT材料以及器件技术创新和产业化应用；印刷QLED材料研发和应用；面向印刷OLED显示墨水的关键主客体材料及有关器件开发。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半导体材料：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高频宽带移动通信用滤波器领域的新材料研制和应用研究。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新能源材料与储能系统：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液流电池、锂离子电池、氢燃料电池等领域的新材料研制和技术创新；电-氢-热多元协同的储能系统集成关键技术开发与装备研制；面向光伏、风电、氢能等的储能系统新材料研制和技术创新。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ascii="宋体" w:hAnsi="宋体" w:eastAsia="宋体" w:cs="宋体"/>
          <w:b/>
          <w:bCs/>
          <w:sz w:val="28"/>
          <w:szCs w:val="28"/>
        </w:rPr>
        <w:t>电子通讯技术和集成电路：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面向无线终端的射频滤波器芯片研究；面向物联网节点供电的射频整流与电源管理一体化芯片研究；面向B5G/6G的混合智能反射面关键技术；面向B5G/6G的通信感知一体化关键技术。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TNjOTVjY2ZhNmRlN2U5NjAxZmMyNzlkNzI5ZTEifQ=="/>
  </w:docVars>
  <w:rsids>
    <w:rsidRoot w:val="49774540"/>
    <w:rsid w:val="3515449B"/>
    <w:rsid w:val="49774540"/>
    <w:rsid w:val="4AB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sz w:val="20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2022-09-30T07:32:00Z</dcterms:created>
  <dc:creator>JX</dc:creator>
  <cp:lastModifiedBy>JX</cp:lastModifiedBy>
  <dcterms:modified xsi:type="dcterms:W3CDTF">2022-09-30T07:33:15Z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3385D8EADD294DED9E99375A1DBFD847</vt:lpwstr>
  </property>
</Properties>
</file>